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10BB" w14:textId="77777777" w:rsidR="003C2FA1" w:rsidRDefault="003C2FA1" w:rsidP="003C2FA1">
      <w:pPr>
        <w:pStyle w:val="Title"/>
      </w:pPr>
      <w:r>
        <w:t>Linking SDGs to Taught Courses: Worksheet</w:t>
      </w:r>
    </w:p>
    <w:p w14:paraId="7B7E6150" w14:textId="77777777" w:rsidR="001D3AC0" w:rsidRDefault="00DB1945">
      <w:r>
        <w:t>T</w:t>
      </w:r>
      <w:r w:rsidR="00733370">
        <w:t xml:space="preserve">he UN Sustainable Development Goals (SDGs) </w:t>
      </w:r>
      <w:r>
        <w:t xml:space="preserve">are a major area of focus at De Montfort University across all of the university’s activities. </w:t>
      </w:r>
    </w:p>
    <w:p w14:paraId="7623EFE7" w14:textId="3B3495C6" w:rsidR="00DB1945" w:rsidRDefault="00DB1945">
      <w:r>
        <w:t>DMU aims to embed Education for t</w:t>
      </w:r>
      <w:r w:rsidR="00AD0F7D">
        <w:t>he Sustainable Development Goals (ESDG) across all of its taught programmes.</w:t>
      </w:r>
      <w:r w:rsidR="001D3AC0">
        <w:t xml:space="preserve"> </w:t>
      </w:r>
      <w:r w:rsidR="00AD0F7D">
        <w:t>One aspect of this is linking curricula to the SDGs where appropriate.</w:t>
      </w:r>
      <w:r w:rsidR="00101062">
        <w:t xml:space="preserve"> For other aspects, such as developing students’ competencies to act on sustainable development, </w:t>
      </w:r>
      <w:hyperlink r:id="rId7" w:history="1">
        <w:r w:rsidR="00101062" w:rsidRPr="004925BA">
          <w:rPr>
            <w:rStyle w:val="Hyperlink"/>
          </w:rPr>
          <w:t>see here</w:t>
        </w:r>
      </w:hyperlink>
      <w:r w:rsidR="00101062">
        <w:t xml:space="preserve">. </w:t>
      </w:r>
      <w:r w:rsidR="00AD0F7D">
        <w:t xml:space="preserve"> </w:t>
      </w:r>
    </w:p>
    <w:p w14:paraId="0C10495E" w14:textId="320EC7E7" w:rsidR="00AD0F7D" w:rsidRDefault="00AD0F7D">
      <w:r>
        <w:t>The SDGs can be viewed at several levels</w:t>
      </w:r>
      <w:r w:rsidR="001D3AC0">
        <w:t xml:space="preserve"> of detail</w:t>
      </w:r>
      <w:r>
        <w:t xml:space="preserve">: </w:t>
      </w:r>
    </w:p>
    <w:p w14:paraId="2FEAF242" w14:textId="3D9699A8" w:rsidR="00AD0F7D" w:rsidRDefault="00AD0F7D" w:rsidP="00AD0F7D">
      <w:pPr>
        <w:pStyle w:val="ListParagraph"/>
        <w:numPr>
          <w:ilvl w:val="0"/>
          <w:numId w:val="2"/>
        </w:numPr>
      </w:pPr>
      <w:r>
        <w:t>The overall purpose of Sustainable Development, to meet “the needs of the present without compromising the ability of future generations to meet their own needs” (Brun</w:t>
      </w:r>
      <w:r w:rsidR="00101062">
        <w:t>d</w:t>
      </w:r>
      <w:r>
        <w:t>tland, 1987)</w:t>
      </w:r>
    </w:p>
    <w:p w14:paraId="4BEC35D5" w14:textId="70AC4260" w:rsidR="00AD0F7D" w:rsidRDefault="00AD0F7D" w:rsidP="00AD0F7D">
      <w:pPr>
        <w:pStyle w:val="ListParagraph"/>
        <w:numPr>
          <w:ilvl w:val="0"/>
          <w:numId w:val="2"/>
        </w:numPr>
      </w:pPr>
      <w:r>
        <w:t>The 17 specific goals, such as eliminating poverty (SDG#1) or reducing inequalities (SDG#10)</w:t>
      </w:r>
    </w:p>
    <w:p w14:paraId="1B7B5955" w14:textId="67D887D5" w:rsidR="00AD0F7D" w:rsidRDefault="00AD0F7D" w:rsidP="00AD0F7D">
      <w:pPr>
        <w:pStyle w:val="ListParagraph"/>
        <w:numPr>
          <w:ilvl w:val="0"/>
          <w:numId w:val="2"/>
        </w:numPr>
      </w:pPr>
      <w:r>
        <w:t xml:space="preserve">Specific measurable Targets (x169) and Indicators (x232) associated with the goals (see UN, 2018) </w:t>
      </w:r>
    </w:p>
    <w:p w14:paraId="6C573888" w14:textId="3249DAC6" w:rsidR="001D3AC0" w:rsidRDefault="00AD0F7D">
      <w:r>
        <w:t>This tool aims to enable structured engagement with the question of how to embed the SDGs in taught courses via some short questions and a template for noting answers.</w:t>
      </w:r>
      <w:r w:rsidR="001D3AC0">
        <w:t xml:space="preserve"> Before trying out the tool, it is worthwhile to familiarise yourself with </w:t>
      </w:r>
      <w:hyperlink r:id="rId8" w:history="1">
        <w:r w:rsidR="001D3AC0" w:rsidRPr="001D3AC0">
          <w:rPr>
            <w:rStyle w:val="Hyperlink"/>
          </w:rPr>
          <w:t>the SDGs</w:t>
        </w:r>
      </w:hyperlink>
      <w:r w:rsidR="001D3AC0">
        <w:t xml:space="preserve">, and </w:t>
      </w:r>
      <w:hyperlink r:id="rId9" w:history="1">
        <w:r w:rsidR="001D3AC0" w:rsidRPr="001D3AC0">
          <w:rPr>
            <w:rStyle w:val="Hyperlink"/>
          </w:rPr>
          <w:t>Education for the Sustainable Development Goals</w:t>
        </w:r>
      </w:hyperlink>
      <w:r w:rsidR="001D3AC0">
        <w:t xml:space="preserve">. </w:t>
      </w:r>
    </w:p>
    <w:p w14:paraId="077C6263" w14:textId="4A799E30" w:rsidR="003B45CE" w:rsidRDefault="003B45CE">
      <w:bookmarkStart w:id="0" w:name="_Hlk530135169"/>
      <w:r>
        <w:t xml:space="preserve">This tool is a pilot resource developed by DMU’s Education for Sustainable Development Forum, as part of a project to enable programmes </w:t>
      </w:r>
      <w:r w:rsidR="00101062">
        <w:t>to enhance linkages to sustainable development.</w:t>
      </w:r>
      <w:r>
        <w:t xml:space="preserve"> Feedback </w:t>
      </w:r>
      <w:r w:rsidR="00101062">
        <w:t xml:space="preserve">and suggested improvements to the </w:t>
      </w:r>
      <w:r>
        <w:t xml:space="preserve">tool </w:t>
      </w:r>
      <w:r w:rsidR="00101062">
        <w:t>are</w:t>
      </w:r>
      <w:r>
        <w:t xml:space="preserve"> welcome – please email </w:t>
      </w:r>
      <w:hyperlink r:id="rId10" w:history="1">
        <w:r w:rsidRPr="00A32D18">
          <w:rPr>
            <w:rStyle w:val="Hyperlink"/>
          </w:rPr>
          <w:t>sustainability@dmu.ac.uk</w:t>
        </w:r>
      </w:hyperlink>
      <w:r>
        <w:t xml:space="preserve"> </w:t>
      </w:r>
    </w:p>
    <w:bookmarkEnd w:id="0"/>
    <w:p w14:paraId="703E4CC6" w14:textId="44281F8F" w:rsidR="00840808" w:rsidRDefault="003C4BA0" w:rsidP="003C4BA0">
      <w:pPr>
        <w:jc w:val="center"/>
      </w:pPr>
      <w:r>
        <w:rPr>
          <w:noProof/>
        </w:rPr>
        <w:drawing>
          <wp:inline distT="0" distB="0" distL="0" distR="0" wp14:anchorId="609217D7" wp14:editId="2203BA07">
            <wp:extent cx="5290457" cy="2650284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-poster-1024px-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073" cy="266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3C5C6" w14:textId="5AB55EC5" w:rsidR="00DB1945" w:rsidRDefault="00840808" w:rsidP="00DB1945">
      <w:pPr>
        <w:pStyle w:val="Heading1"/>
      </w:pPr>
      <w:r>
        <w:t xml:space="preserve">Q1: </w:t>
      </w:r>
      <w:r w:rsidR="00DB1945">
        <w:t>Reflection: How are the SDGs relevant to your course, and how might their inclusion enhance or change the experience of students taking the course?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1945" w14:paraId="1AF03465" w14:textId="77777777" w:rsidTr="00EA34F9">
        <w:trPr>
          <w:trHeight w:hRule="exact" w:val="891"/>
        </w:trPr>
        <w:tc>
          <w:tcPr>
            <w:tcW w:w="10456" w:type="dxa"/>
          </w:tcPr>
          <w:p w14:paraId="7EFF15B1" w14:textId="77777777" w:rsidR="00DB1945" w:rsidRDefault="00DB1945" w:rsidP="00DB1945"/>
        </w:tc>
      </w:tr>
    </w:tbl>
    <w:p w14:paraId="30913398" w14:textId="3DF32A1E" w:rsidR="005F4DDB" w:rsidRDefault="00DB1945" w:rsidP="00840808">
      <w:pPr>
        <w:pStyle w:val="Heading1"/>
      </w:pPr>
      <w:r>
        <w:t xml:space="preserve">Q2: </w:t>
      </w:r>
      <w:r w:rsidR="00125DC5">
        <w:t xml:space="preserve">How are </w:t>
      </w:r>
      <w:r w:rsidR="003C4BA0">
        <w:t>the SDGs</w:t>
      </w:r>
      <w:r w:rsidR="00125DC5">
        <w:t xml:space="preserve"> currently embedded in</w:t>
      </w:r>
      <w:r w:rsidR="00733370">
        <w:t xml:space="preserve"> the course</w:t>
      </w:r>
      <w:r w:rsidR="00840808">
        <w:t>?</w:t>
      </w:r>
    </w:p>
    <w:p w14:paraId="4595D4B5" w14:textId="1A6E9E8F" w:rsidR="00840808" w:rsidRPr="004F48D4" w:rsidRDefault="004F48D4">
      <w:r>
        <w:t xml:space="preserve">For each level of analysis, it can be useful to </w:t>
      </w:r>
      <w:r w:rsidR="00840808">
        <w:t xml:space="preserve">consider: </w:t>
      </w:r>
      <w:r w:rsidR="00840808" w:rsidRPr="004F48D4">
        <w:rPr>
          <w:i/>
        </w:rPr>
        <w:t>Intended Learning Outcomes; Course Materials; Learning Activities; Assessment.</w:t>
      </w:r>
      <w:r>
        <w:rPr>
          <w:i/>
        </w:rPr>
        <w:t xml:space="preserve"> </w:t>
      </w:r>
      <w:r>
        <w:t xml:space="preserve">Links to the SDGs might also be </w:t>
      </w:r>
      <w:r w:rsidRPr="004F48D4">
        <w:rPr>
          <w:i/>
        </w:rPr>
        <w:t>Explicit (E) or Implicit (I)</w:t>
      </w:r>
      <w:r>
        <w:t xml:space="preserve"> – for example, a session on poverty links to SDG#1 implicitly if it does not explicitly mention the SDG.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8476"/>
      </w:tblGrid>
      <w:tr w:rsidR="00840808" w14:paraId="1A5BD71D" w14:textId="77777777" w:rsidTr="00EA34F9">
        <w:trPr>
          <w:trHeight w:hRule="exact" w:val="1137"/>
        </w:trPr>
        <w:tc>
          <w:tcPr>
            <w:tcW w:w="947" w:type="pct"/>
          </w:tcPr>
          <w:p w14:paraId="1AC80F80" w14:textId="2B9D2FC8" w:rsidR="00733370" w:rsidRPr="004F48D4" w:rsidRDefault="004F48D4">
            <w:pPr>
              <w:rPr>
                <w:sz w:val="28"/>
              </w:rPr>
            </w:pPr>
            <w:r w:rsidRPr="004F48D4">
              <w:rPr>
                <w:sz w:val="28"/>
              </w:rPr>
              <w:lastRenderedPageBreak/>
              <w:t>Overall focus on Sustainable Development</w:t>
            </w:r>
          </w:p>
        </w:tc>
        <w:tc>
          <w:tcPr>
            <w:tcW w:w="4053" w:type="pct"/>
          </w:tcPr>
          <w:p w14:paraId="08076577" w14:textId="5F9C3D55" w:rsidR="00840808" w:rsidRPr="00101062" w:rsidRDefault="00840808" w:rsidP="0010106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:rsidR="00840808" w14:paraId="0D4C96A5" w14:textId="77777777" w:rsidTr="00EA34F9">
        <w:trPr>
          <w:trHeight w:hRule="exact" w:val="844"/>
        </w:trPr>
        <w:tc>
          <w:tcPr>
            <w:tcW w:w="947" w:type="pct"/>
          </w:tcPr>
          <w:p w14:paraId="50582117" w14:textId="0E8DBDB3" w:rsidR="00840808" w:rsidRPr="004F48D4" w:rsidRDefault="00DB1945">
            <w:pPr>
              <w:rPr>
                <w:sz w:val="28"/>
              </w:rPr>
            </w:pPr>
            <w:r w:rsidRPr="004F48D4">
              <w:rPr>
                <w:sz w:val="28"/>
              </w:rPr>
              <w:t>Coverage of specific SDGs</w:t>
            </w:r>
          </w:p>
        </w:tc>
        <w:tc>
          <w:tcPr>
            <w:tcW w:w="4053" w:type="pct"/>
          </w:tcPr>
          <w:p w14:paraId="5FFA59FA" w14:textId="2D9505B5" w:rsidR="00840808" w:rsidRPr="00101062" w:rsidRDefault="00840808" w:rsidP="0010106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:rsidR="00840808" w14:paraId="77DEF0E0" w14:textId="77777777" w:rsidTr="00EA34F9">
        <w:trPr>
          <w:trHeight w:hRule="exact" w:val="1125"/>
        </w:trPr>
        <w:tc>
          <w:tcPr>
            <w:tcW w:w="947" w:type="pct"/>
          </w:tcPr>
          <w:p w14:paraId="4E3BE6FF" w14:textId="36C7B3DB" w:rsidR="00840808" w:rsidRPr="004F48D4" w:rsidRDefault="00DB1945">
            <w:pPr>
              <w:rPr>
                <w:sz w:val="28"/>
              </w:rPr>
            </w:pPr>
            <w:r w:rsidRPr="004F48D4">
              <w:rPr>
                <w:sz w:val="28"/>
              </w:rPr>
              <w:t xml:space="preserve">Contribution to specific </w:t>
            </w:r>
            <w:r w:rsidR="004F48D4" w:rsidRPr="004F48D4">
              <w:rPr>
                <w:sz w:val="28"/>
              </w:rPr>
              <w:t>T</w:t>
            </w:r>
            <w:r w:rsidRPr="004F48D4">
              <w:rPr>
                <w:sz w:val="28"/>
              </w:rPr>
              <w:t xml:space="preserve">argets / </w:t>
            </w:r>
            <w:r w:rsidR="004F48D4" w:rsidRPr="004F48D4">
              <w:rPr>
                <w:sz w:val="28"/>
              </w:rPr>
              <w:t>I</w:t>
            </w:r>
            <w:r w:rsidRPr="004F48D4">
              <w:rPr>
                <w:sz w:val="28"/>
              </w:rPr>
              <w:t>ndicators</w:t>
            </w:r>
          </w:p>
        </w:tc>
        <w:tc>
          <w:tcPr>
            <w:tcW w:w="4053" w:type="pct"/>
          </w:tcPr>
          <w:p w14:paraId="6B19A12C" w14:textId="6E5A1D08" w:rsidR="00840808" w:rsidRPr="00101062" w:rsidRDefault="00840808" w:rsidP="0010106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</w:tbl>
    <w:p w14:paraId="6FF68671" w14:textId="57F14F5A" w:rsidR="00840808" w:rsidRDefault="00840808" w:rsidP="00125DC5">
      <w:pPr>
        <w:pStyle w:val="Heading1"/>
      </w:pPr>
      <w:r>
        <w:t>Q</w:t>
      </w:r>
      <w:r w:rsidR="004F48D4">
        <w:t>3</w:t>
      </w:r>
      <w:r>
        <w:t xml:space="preserve">: What </w:t>
      </w:r>
      <w:r w:rsidR="00125DC5">
        <w:t>o</w:t>
      </w:r>
      <w:r>
        <w:t xml:space="preserve">pportunities exist </w:t>
      </w:r>
      <w:r w:rsidR="00125DC5">
        <w:t>to enhance how</w:t>
      </w:r>
      <w:r w:rsidR="003C4BA0">
        <w:t xml:space="preserve"> SDGs</w:t>
      </w:r>
      <w:r w:rsidR="00125DC5">
        <w:t xml:space="preserve"> are embedded in the course</w:t>
      </w:r>
      <w:r>
        <w:t>?</w:t>
      </w:r>
      <w:r w:rsidR="00125DC5">
        <w:t xml:space="preserve"> </w:t>
      </w:r>
    </w:p>
    <w:p w14:paraId="74786020" w14:textId="77777777" w:rsidR="00101062" w:rsidRDefault="00101062" w:rsidP="00101062">
      <w:r>
        <w:t xml:space="preserve">Use this question to brainstorm ideas before prioritising later (Q5). You could consider: </w:t>
      </w:r>
    </w:p>
    <w:p w14:paraId="490CA1B6" w14:textId="77777777" w:rsidR="00101062" w:rsidRDefault="00101062" w:rsidP="00101062">
      <w:pPr>
        <w:pStyle w:val="ListParagraph"/>
        <w:numPr>
          <w:ilvl w:val="0"/>
          <w:numId w:val="1"/>
        </w:numPr>
      </w:pPr>
      <w:r>
        <w:t>Levels of understanding the SDGs (as above): as a whole; as individual SDGs; as Targets/Indicators</w:t>
      </w:r>
    </w:p>
    <w:p w14:paraId="04A4A727" w14:textId="77777777" w:rsidR="00101062" w:rsidRDefault="00101062" w:rsidP="00101062">
      <w:pPr>
        <w:pStyle w:val="ListParagraph"/>
        <w:numPr>
          <w:ilvl w:val="0"/>
          <w:numId w:val="1"/>
        </w:numPr>
      </w:pPr>
      <w:r>
        <w:t>Type of opportunity: Making implicit connections explicit; or additions/changes to curriculum.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8476"/>
      </w:tblGrid>
      <w:tr w:rsidR="00101062" w14:paraId="3C716FE7" w14:textId="77777777" w:rsidTr="00EA34F9">
        <w:trPr>
          <w:trHeight w:hRule="exact" w:val="1109"/>
        </w:trPr>
        <w:tc>
          <w:tcPr>
            <w:tcW w:w="947" w:type="pct"/>
          </w:tcPr>
          <w:p w14:paraId="3BAD2317" w14:textId="15C75F78" w:rsidR="00101062" w:rsidRPr="004F48D4" w:rsidRDefault="00101062" w:rsidP="00EA34F9">
            <w:pPr>
              <w:rPr>
                <w:sz w:val="28"/>
              </w:rPr>
            </w:pPr>
            <w:r>
              <w:rPr>
                <w:sz w:val="28"/>
              </w:rPr>
              <w:t xml:space="preserve">Intended Learning Outcomes </w:t>
            </w:r>
          </w:p>
        </w:tc>
        <w:tc>
          <w:tcPr>
            <w:tcW w:w="4053" w:type="pct"/>
          </w:tcPr>
          <w:p w14:paraId="227D4FF7" w14:textId="6638448A" w:rsidR="00101062" w:rsidRPr="00906B47" w:rsidRDefault="00101062" w:rsidP="0010106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  <w:tr w:rsidR="00101062" w14:paraId="6B874702" w14:textId="77777777" w:rsidTr="00EA34F9">
        <w:trPr>
          <w:trHeight w:hRule="exact" w:val="1402"/>
        </w:trPr>
        <w:tc>
          <w:tcPr>
            <w:tcW w:w="947" w:type="pct"/>
          </w:tcPr>
          <w:p w14:paraId="66DEBB18" w14:textId="77777777" w:rsidR="00101062" w:rsidRPr="004F48D4" w:rsidRDefault="00101062" w:rsidP="000563B2">
            <w:pPr>
              <w:rPr>
                <w:sz w:val="28"/>
              </w:rPr>
            </w:pPr>
            <w:r>
              <w:rPr>
                <w:sz w:val="28"/>
              </w:rPr>
              <w:t>Course Materials and Learning Activities</w:t>
            </w:r>
          </w:p>
        </w:tc>
        <w:tc>
          <w:tcPr>
            <w:tcW w:w="4053" w:type="pct"/>
          </w:tcPr>
          <w:p w14:paraId="1FB4860C" w14:textId="17AA3F7F" w:rsidR="00101062" w:rsidRPr="00906B47" w:rsidRDefault="00101062" w:rsidP="0010106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  <w:tr w:rsidR="00101062" w14:paraId="1289542D" w14:textId="77777777" w:rsidTr="00EA34F9">
        <w:trPr>
          <w:trHeight w:hRule="exact" w:val="429"/>
        </w:trPr>
        <w:tc>
          <w:tcPr>
            <w:tcW w:w="947" w:type="pct"/>
          </w:tcPr>
          <w:p w14:paraId="3FBC10F6" w14:textId="77777777" w:rsidR="00101062" w:rsidRPr="004F48D4" w:rsidRDefault="00101062" w:rsidP="000563B2">
            <w:pPr>
              <w:rPr>
                <w:sz w:val="28"/>
              </w:rPr>
            </w:pPr>
            <w:r>
              <w:rPr>
                <w:sz w:val="28"/>
              </w:rPr>
              <w:t>Assessment</w:t>
            </w:r>
          </w:p>
        </w:tc>
        <w:tc>
          <w:tcPr>
            <w:tcW w:w="4053" w:type="pct"/>
          </w:tcPr>
          <w:p w14:paraId="2F3154A7" w14:textId="7952AB0C" w:rsidR="00101062" w:rsidRPr="00AC6208" w:rsidRDefault="00101062" w:rsidP="0010106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</w:tbl>
    <w:p w14:paraId="6521D90A" w14:textId="32D32EC7" w:rsidR="00840808" w:rsidRDefault="00840808" w:rsidP="00840808">
      <w:pPr>
        <w:pStyle w:val="Heading1"/>
      </w:pPr>
      <w:r>
        <w:t>Q</w:t>
      </w:r>
      <w:r w:rsidR="004F48D4">
        <w:t>4</w:t>
      </w:r>
      <w:r>
        <w:t>: What other ideas has thinking</w:t>
      </w:r>
      <w:r w:rsidR="00101062">
        <w:t xml:space="preserve"> about links to the SDGs</w:t>
      </w:r>
      <w:r>
        <w:t xml:space="preserve"> g</w:t>
      </w:r>
      <w:r w:rsidR="00101062">
        <w:t>iven you?</w:t>
      </w:r>
    </w:p>
    <w:p w14:paraId="0EBEB104" w14:textId="3116FEF2" w:rsidR="00840808" w:rsidRDefault="00840808">
      <w:r>
        <w:t xml:space="preserve">For example, </w:t>
      </w:r>
      <w:r w:rsidRPr="00840808">
        <w:rPr>
          <w:i/>
        </w:rPr>
        <w:t>constraints</w:t>
      </w:r>
      <w:r>
        <w:t xml:space="preserve"> that may limit or delay changes;</w:t>
      </w:r>
      <w:r w:rsidR="00125DC5">
        <w:t xml:space="preserve"> </w:t>
      </w:r>
      <w:r>
        <w:t xml:space="preserve">ideas that may apply to </w:t>
      </w:r>
      <w:r w:rsidRPr="00840808">
        <w:rPr>
          <w:i/>
        </w:rPr>
        <w:t>other areas of your work</w:t>
      </w:r>
      <w:r w:rsidR="00125DC5">
        <w:rPr>
          <w:i/>
        </w:rPr>
        <w:t xml:space="preserve"> or colleagues’ work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0808" w14:paraId="25F70D09" w14:textId="77777777" w:rsidTr="00EA34F9">
        <w:trPr>
          <w:trHeight w:hRule="exact" w:val="598"/>
        </w:trPr>
        <w:tc>
          <w:tcPr>
            <w:tcW w:w="10456" w:type="dxa"/>
          </w:tcPr>
          <w:p w14:paraId="11C0A142" w14:textId="77777777" w:rsidR="00840808" w:rsidRDefault="00840808"/>
        </w:tc>
      </w:tr>
    </w:tbl>
    <w:p w14:paraId="2E5BA86E" w14:textId="669B719F" w:rsidR="00B27C21" w:rsidRDefault="00840808" w:rsidP="00840808">
      <w:pPr>
        <w:pStyle w:val="Heading1"/>
      </w:pPr>
      <w:r>
        <w:t>Q</w:t>
      </w:r>
      <w:r w:rsidR="004F48D4">
        <w:t>5</w:t>
      </w:r>
      <w:r>
        <w:t xml:space="preserve">: </w:t>
      </w:r>
      <w:r w:rsidR="00101062">
        <w:t>Based upon this reflection, w</w:t>
      </w:r>
      <w:r>
        <w:t xml:space="preserve">hat </w:t>
      </w:r>
      <w:r w:rsidR="00101062">
        <w:t>will</w:t>
      </w:r>
      <w:r>
        <w:t xml:space="preserve"> you do in the future to embed </w:t>
      </w:r>
      <w:r w:rsidR="003C4BA0">
        <w:t>the SDGs</w:t>
      </w:r>
      <w:r>
        <w:t xml:space="preserve"> in your course?</w:t>
      </w:r>
    </w:p>
    <w:p w14:paraId="7EBF44EF" w14:textId="24299FA3" w:rsidR="005F4DDB" w:rsidRDefault="00840808">
      <w:r>
        <w:t>Try u</w:t>
      </w:r>
      <w:r w:rsidR="005F4DDB">
        <w:t>s</w:t>
      </w:r>
      <w:r>
        <w:t xml:space="preserve">ing </w:t>
      </w:r>
      <w:r w:rsidR="005F4DDB">
        <w:t>MoSCoW (</w:t>
      </w:r>
      <w:r w:rsidR="005F4DDB" w:rsidRPr="005F4DDB">
        <w:rPr>
          <w:i/>
        </w:rPr>
        <w:t xml:space="preserve">Must; Should; Could; </w:t>
      </w:r>
      <w:proofErr w:type="gramStart"/>
      <w:r w:rsidR="005F4DDB" w:rsidRPr="005F4DDB">
        <w:rPr>
          <w:i/>
        </w:rPr>
        <w:t>Won’t</w:t>
      </w:r>
      <w:proofErr w:type="gramEnd"/>
      <w:r w:rsidR="005F4DDB">
        <w:t xml:space="preserve">) to prioritise your ideas. </w:t>
      </w:r>
      <w:r w:rsidR="00733370">
        <w:t>For ideas worth pursuing, you could label as This Year (TY) or Later (L). For ideas you won’t pursue, you could note a brief reason in brackets.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9042"/>
      </w:tblGrid>
      <w:tr w:rsidR="007E2A9E" w14:paraId="16D221EC" w14:textId="77777777" w:rsidTr="00EA34F9">
        <w:trPr>
          <w:trHeight w:hRule="exact" w:val="420"/>
        </w:trPr>
        <w:tc>
          <w:tcPr>
            <w:tcW w:w="676" w:type="pct"/>
          </w:tcPr>
          <w:p w14:paraId="5D48FEAA" w14:textId="439D5246" w:rsidR="007E2A9E" w:rsidRPr="005F4DDB" w:rsidRDefault="007E2A9E">
            <w:pPr>
              <w:rPr>
                <w:sz w:val="28"/>
              </w:rPr>
            </w:pPr>
            <w:r w:rsidRPr="005F4DDB">
              <w:rPr>
                <w:sz w:val="28"/>
              </w:rPr>
              <w:t>Must</w:t>
            </w:r>
          </w:p>
        </w:tc>
        <w:tc>
          <w:tcPr>
            <w:tcW w:w="4324" w:type="pct"/>
          </w:tcPr>
          <w:p w14:paraId="4F33F1DA" w14:textId="145C4606" w:rsidR="007E2A9E" w:rsidRPr="00101062" w:rsidRDefault="007E2A9E">
            <w:pPr>
              <w:rPr>
                <w:sz w:val="20"/>
                <w:szCs w:val="20"/>
              </w:rPr>
            </w:pPr>
          </w:p>
        </w:tc>
      </w:tr>
      <w:tr w:rsidR="007E2A9E" w14:paraId="61E90145" w14:textId="77777777" w:rsidTr="00EA34F9">
        <w:trPr>
          <w:trHeight w:hRule="exact" w:val="426"/>
        </w:trPr>
        <w:tc>
          <w:tcPr>
            <w:tcW w:w="676" w:type="pct"/>
          </w:tcPr>
          <w:p w14:paraId="166C1987" w14:textId="569726D6" w:rsidR="007E2A9E" w:rsidRPr="005F4DDB" w:rsidRDefault="007E2A9E">
            <w:pPr>
              <w:rPr>
                <w:sz w:val="28"/>
              </w:rPr>
            </w:pPr>
            <w:r w:rsidRPr="005F4DDB">
              <w:rPr>
                <w:sz w:val="28"/>
              </w:rPr>
              <w:t xml:space="preserve">Should </w:t>
            </w:r>
          </w:p>
        </w:tc>
        <w:tc>
          <w:tcPr>
            <w:tcW w:w="4324" w:type="pct"/>
          </w:tcPr>
          <w:p w14:paraId="6AFC08C3" w14:textId="77777777" w:rsidR="007E2A9E" w:rsidRPr="00101062" w:rsidRDefault="007E2A9E">
            <w:pPr>
              <w:rPr>
                <w:sz w:val="20"/>
                <w:szCs w:val="20"/>
              </w:rPr>
            </w:pPr>
          </w:p>
        </w:tc>
      </w:tr>
      <w:tr w:rsidR="007E2A9E" w14:paraId="13BB516E" w14:textId="77777777" w:rsidTr="00EA34F9">
        <w:trPr>
          <w:trHeight w:hRule="exact" w:val="420"/>
        </w:trPr>
        <w:tc>
          <w:tcPr>
            <w:tcW w:w="676" w:type="pct"/>
          </w:tcPr>
          <w:p w14:paraId="42E2AB94" w14:textId="056A23AC" w:rsidR="007E2A9E" w:rsidRPr="005F4DDB" w:rsidRDefault="007E2A9E">
            <w:pPr>
              <w:rPr>
                <w:sz w:val="28"/>
              </w:rPr>
            </w:pPr>
            <w:r w:rsidRPr="005F4DDB">
              <w:rPr>
                <w:sz w:val="28"/>
              </w:rPr>
              <w:t>Could</w:t>
            </w:r>
          </w:p>
        </w:tc>
        <w:tc>
          <w:tcPr>
            <w:tcW w:w="4324" w:type="pct"/>
          </w:tcPr>
          <w:p w14:paraId="197E0CBC" w14:textId="77777777" w:rsidR="007E2A9E" w:rsidRPr="00101062" w:rsidRDefault="007E2A9E">
            <w:pPr>
              <w:rPr>
                <w:sz w:val="20"/>
                <w:szCs w:val="20"/>
              </w:rPr>
            </w:pPr>
          </w:p>
        </w:tc>
      </w:tr>
      <w:tr w:rsidR="007E2A9E" w14:paraId="4A380A5E" w14:textId="77777777" w:rsidTr="00EA34F9">
        <w:trPr>
          <w:trHeight w:hRule="exact" w:val="429"/>
        </w:trPr>
        <w:tc>
          <w:tcPr>
            <w:tcW w:w="676" w:type="pct"/>
          </w:tcPr>
          <w:p w14:paraId="5CC7B24B" w14:textId="62F29D99" w:rsidR="007E2A9E" w:rsidRPr="005F4DDB" w:rsidRDefault="007E2A9E">
            <w:pPr>
              <w:rPr>
                <w:sz w:val="28"/>
              </w:rPr>
            </w:pPr>
            <w:r w:rsidRPr="005F4DDB">
              <w:rPr>
                <w:sz w:val="28"/>
              </w:rPr>
              <w:t>Won't</w:t>
            </w:r>
          </w:p>
        </w:tc>
        <w:tc>
          <w:tcPr>
            <w:tcW w:w="4324" w:type="pct"/>
          </w:tcPr>
          <w:p w14:paraId="1C2172A6" w14:textId="77777777" w:rsidR="007E2A9E" w:rsidRPr="00101062" w:rsidRDefault="007E2A9E">
            <w:pPr>
              <w:rPr>
                <w:sz w:val="20"/>
                <w:szCs w:val="20"/>
              </w:rPr>
            </w:pPr>
          </w:p>
        </w:tc>
      </w:tr>
    </w:tbl>
    <w:p w14:paraId="0031C793" w14:textId="781A74CB" w:rsidR="002500B0" w:rsidRDefault="002500B0" w:rsidP="002500B0">
      <w:pPr>
        <w:pStyle w:val="Heading1"/>
      </w:pPr>
      <w:r>
        <w:t>References</w:t>
      </w:r>
    </w:p>
    <w:p w14:paraId="2C4EF8BA" w14:textId="77777777" w:rsidR="003B45CE" w:rsidRPr="00101062" w:rsidRDefault="004F48D4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101062">
        <w:rPr>
          <w:rFonts w:cstheme="minorHAnsi"/>
          <w:color w:val="222222"/>
          <w:sz w:val="20"/>
          <w:szCs w:val="20"/>
          <w:shd w:val="clear" w:color="auto" w:fill="FFFFFF"/>
        </w:rPr>
        <w:t xml:space="preserve">Brundtland, G., </w:t>
      </w:r>
      <w:r w:rsidR="001D3AC0" w:rsidRPr="00101062">
        <w:rPr>
          <w:rFonts w:cstheme="minorHAnsi"/>
          <w:color w:val="222222"/>
          <w:sz w:val="20"/>
          <w:szCs w:val="20"/>
          <w:shd w:val="clear" w:color="auto" w:fill="FFFFFF"/>
        </w:rPr>
        <w:t>(</w:t>
      </w:r>
      <w:r w:rsidRPr="00101062">
        <w:rPr>
          <w:rFonts w:cstheme="minorHAnsi"/>
          <w:color w:val="222222"/>
          <w:sz w:val="20"/>
          <w:szCs w:val="20"/>
          <w:shd w:val="clear" w:color="auto" w:fill="FFFFFF"/>
        </w:rPr>
        <w:t>1987</w:t>
      </w:r>
      <w:r w:rsidR="001D3AC0" w:rsidRPr="00101062">
        <w:rPr>
          <w:rFonts w:cstheme="minorHAnsi"/>
          <w:color w:val="222222"/>
          <w:sz w:val="20"/>
          <w:szCs w:val="20"/>
          <w:shd w:val="clear" w:color="auto" w:fill="FFFFFF"/>
        </w:rPr>
        <w:t>)</w:t>
      </w:r>
      <w:r w:rsidRPr="00101062">
        <w:rPr>
          <w:rFonts w:cstheme="minorHAnsi"/>
          <w:color w:val="222222"/>
          <w:sz w:val="20"/>
          <w:szCs w:val="20"/>
          <w:shd w:val="clear" w:color="auto" w:fill="FFFFFF"/>
        </w:rPr>
        <w:t>. Our common future: Report of the 1987 World Commission on Environment and Development. </w:t>
      </w:r>
      <w:r w:rsidRPr="00101062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United Nations, Oslo</w:t>
      </w:r>
      <w:r w:rsidRPr="00101062">
        <w:rPr>
          <w:rFonts w:cstheme="minorHAnsi"/>
          <w:color w:val="222222"/>
          <w:sz w:val="20"/>
          <w:szCs w:val="20"/>
          <w:shd w:val="clear" w:color="auto" w:fill="FFFFFF"/>
        </w:rPr>
        <w:t>, </w:t>
      </w:r>
      <w:r w:rsidRPr="00101062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1</w:t>
      </w:r>
      <w:r w:rsidRPr="00101062">
        <w:rPr>
          <w:rFonts w:cstheme="minorHAnsi"/>
          <w:color w:val="222222"/>
          <w:sz w:val="20"/>
          <w:szCs w:val="20"/>
          <w:shd w:val="clear" w:color="auto" w:fill="FFFFFF"/>
        </w:rPr>
        <w:t>, p.59.</w:t>
      </w:r>
    </w:p>
    <w:p w14:paraId="2B6B06C2" w14:textId="2CE961BE" w:rsidR="001D3AC0" w:rsidRPr="00101062" w:rsidRDefault="003C4BA0" w:rsidP="003B45CE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101062">
        <w:rPr>
          <w:rFonts w:cstheme="minorHAnsi"/>
          <w:sz w:val="20"/>
          <w:szCs w:val="20"/>
        </w:rPr>
        <w:t xml:space="preserve">UN (2018) Sustainable Development Goals. </w:t>
      </w:r>
      <w:hyperlink r:id="rId12" w:history="1">
        <w:r w:rsidRPr="00101062">
          <w:rPr>
            <w:rStyle w:val="Hyperlink"/>
            <w:rFonts w:cstheme="minorHAnsi"/>
            <w:sz w:val="20"/>
            <w:szCs w:val="20"/>
          </w:rPr>
          <w:t>https://sustainabledevelopment.un.org/sdgs</w:t>
        </w:r>
      </w:hyperlink>
      <w:r w:rsidRPr="00101062">
        <w:rPr>
          <w:rFonts w:cstheme="minorHAnsi"/>
          <w:sz w:val="20"/>
          <w:szCs w:val="20"/>
        </w:rPr>
        <w:t xml:space="preserve"> </w:t>
      </w:r>
      <w:bookmarkStart w:id="1" w:name="_GoBack"/>
      <w:bookmarkEnd w:id="1"/>
    </w:p>
    <w:sectPr w:rsidR="001D3AC0" w:rsidRPr="00101062" w:rsidSect="001F548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8E885" w14:textId="77777777" w:rsidR="00DF64D9" w:rsidRDefault="00DF64D9" w:rsidP="00973DE7">
      <w:pPr>
        <w:spacing w:after="0" w:line="240" w:lineRule="auto"/>
      </w:pPr>
      <w:r>
        <w:separator/>
      </w:r>
    </w:p>
  </w:endnote>
  <w:endnote w:type="continuationSeparator" w:id="0">
    <w:p w14:paraId="0AD940E9" w14:textId="77777777" w:rsidR="00DF64D9" w:rsidRDefault="00DF64D9" w:rsidP="0097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9328" w14:textId="10086B3E" w:rsidR="00973DE7" w:rsidRPr="00973DE7" w:rsidRDefault="00101062" w:rsidP="00973DE7">
    <w:pPr>
      <w:pStyle w:val="Footer"/>
      <w:jc w:val="center"/>
      <w:rPr>
        <w:sz w:val="18"/>
      </w:rPr>
    </w:pPr>
    <w:bookmarkStart w:id="2" w:name="_Hlk530135387"/>
    <w:bookmarkStart w:id="3" w:name="_Hlk530135388"/>
    <w:r>
      <w:rPr>
        <w:sz w:val="18"/>
      </w:rPr>
      <w:t>V1.0, November 2018. De Montfort University.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B2769" w14:textId="77777777" w:rsidR="00DF64D9" w:rsidRDefault="00DF64D9" w:rsidP="00973DE7">
      <w:pPr>
        <w:spacing w:after="0" w:line="240" w:lineRule="auto"/>
      </w:pPr>
      <w:r>
        <w:separator/>
      </w:r>
    </w:p>
  </w:footnote>
  <w:footnote w:type="continuationSeparator" w:id="0">
    <w:p w14:paraId="368FCD59" w14:textId="77777777" w:rsidR="00DF64D9" w:rsidRDefault="00DF64D9" w:rsidP="0097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6DA3"/>
    <w:multiLevelType w:val="hybridMultilevel"/>
    <w:tmpl w:val="26D4D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62B0"/>
    <w:multiLevelType w:val="hybridMultilevel"/>
    <w:tmpl w:val="7EE21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42D29"/>
    <w:multiLevelType w:val="hybridMultilevel"/>
    <w:tmpl w:val="5A68B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80098"/>
    <w:multiLevelType w:val="hybridMultilevel"/>
    <w:tmpl w:val="F72E2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A7"/>
    <w:rsid w:val="000134EB"/>
    <w:rsid w:val="000B450E"/>
    <w:rsid w:val="00101062"/>
    <w:rsid w:val="00114E68"/>
    <w:rsid w:val="00125DC5"/>
    <w:rsid w:val="00146CA0"/>
    <w:rsid w:val="001D3AC0"/>
    <w:rsid w:val="001F5486"/>
    <w:rsid w:val="002500B0"/>
    <w:rsid w:val="00273CAD"/>
    <w:rsid w:val="002A71D1"/>
    <w:rsid w:val="002E6883"/>
    <w:rsid w:val="003116CD"/>
    <w:rsid w:val="003B45CE"/>
    <w:rsid w:val="003C2FA1"/>
    <w:rsid w:val="003C4BA0"/>
    <w:rsid w:val="00420DC7"/>
    <w:rsid w:val="00423C0C"/>
    <w:rsid w:val="004451D1"/>
    <w:rsid w:val="004B1421"/>
    <w:rsid w:val="004F48D4"/>
    <w:rsid w:val="005548EB"/>
    <w:rsid w:val="005944C8"/>
    <w:rsid w:val="00594702"/>
    <w:rsid w:val="005F4DDB"/>
    <w:rsid w:val="0068522D"/>
    <w:rsid w:val="006F0066"/>
    <w:rsid w:val="00733370"/>
    <w:rsid w:val="007E2A9E"/>
    <w:rsid w:val="00840808"/>
    <w:rsid w:val="008860F5"/>
    <w:rsid w:val="00973DE7"/>
    <w:rsid w:val="009A261C"/>
    <w:rsid w:val="00AC7B81"/>
    <w:rsid w:val="00AD0F7D"/>
    <w:rsid w:val="00B27A9B"/>
    <w:rsid w:val="00B27C21"/>
    <w:rsid w:val="00B72200"/>
    <w:rsid w:val="00C3442C"/>
    <w:rsid w:val="00C85D99"/>
    <w:rsid w:val="00CA4CA7"/>
    <w:rsid w:val="00D431AD"/>
    <w:rsid w:val="00D550F9"/>
    <w:rsid w:val="00DB1945"/>
    <w:rsid w:val="00DF64D9"/>
    <w:rsid w:val="00EA34F9"/>
    <w:rsid w:val="00EB157B"/>
    <w:rsid w:val="00E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2A3D"/>
  <w15:chartTrackingRefBased/>
  <w15:docId w15:val="{181FF75D-3788-844A-BED0-023C3224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4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548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F4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4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408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basedOn w:val="Normal"/>
    <w:link w:val="NoSpacingChar"/>
    <w:uiPriority w:val="1"/>
    <w:qFormat/>
    <w:rsid w:val="002500B0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00B0"/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25D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E7"/>
  </w:style>
  <w:style w:type="paragraph" w:styleId="Footer">
    <w:name w:val="footer"/>
    <w:basedOn w:val="Normal"/>
    <w:link w:val="FooterChar"/>
    <w:uiPriority w:val="99"/>
    <w:unhideWhenUsed/>
    <w:rsid w:val="0097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E7"/>
  </w:style>
  <w:style w:type="paragraph" w:styleId="ListParagraph">
    <w:name w:val="List Paragraph"/>
    <w:basedOn w:val="Normal"/>
    <w:uiPriority w:val="34"/>
    <w:qFormat/>
    <w:rsid w:val="00D5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sdg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dg.our.dmu.ac.uk/about/introducing-esdg/" TargetMode="External"/><Relationship Id="rId12" Type="http://schemas.openxmlformats.org/officeDocument/2006/relationships/hyperlink" Target="https://sustainabledevelopment.un.org/sd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stainability@dm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dg.our.dmu.ac.uk/about/introducing-esd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Reeves</dc:creator>
  <cp:keywords/>
  <dc:description/>
  <cp:lastModifiedBy>Andrew Reeves</cp:lastModifiedBy>
  <cp:revision>2</cp:revision>
  <dcterms:created xsi:type="dcterms:W3CDTF">2019-02-20T11:38:00Z</dcterms:created>
  <dcterms:modified xsi:type="dcterms:W3CDTF">2019-02-20T11:38:00Z</dcterms:modified>
</cp:coreProperties>
</file>